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060BD6" w:rsidRPr="00A4377E" w:rsidRDefault="00000000" w:rsidP="00A4377E">
      <w:pPr>
        <w:pStyle w:val="Titolo1"/>
        <w:spacing w:before="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Module 3: Technology, Learning, and the Brain (Complete Summary)</w:t>
      </w:r>
    </w:p>
    <w:p w14:paraId="00000002" w14:textId="77777777" w:rsidR="00060BD6" w:rsidRPr="00A4377E" w:rsidRDefault="00000000">
      <w:pPr>
        <w:pStyle w:val="Titolo2"/>
        <w:spacing w:before="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1. Change of the World: from 3D to 2D</w:t>
      </w:r>
    </w:p>
    <w:p w14:paraId="00000003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Based on the work of Susan Greenfield, the fundamental premise for this module is that we are living through an unprecedented environmental shift from a "3D world" to a "2D world."</w:t>
      </w:r>
    </w:p>
    <w:p w14:paraId="00000004" w14:textId="77777777" w:rsidR="00060BD6" w:rsidRPr="00A4377E" w:rsidRDefault="00000000">
      <w:pPr>
        <w:pStyle w:val="Titolo3"/>
        <w:spacing w:before="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The 3D to 2D Transition</w:t>
      </w:r>
    </w:p>
    <w:p w14:paraId="00000005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The two environments can be defined as:</w:t>
      </w:r>
    </w:p>
    <w:p w14:paraId="00000006" w14:textId="77777777" w:rsidR="00060BD6" w:rsidRPr="00A4377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3D World: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The physical, tangible world of "real life" in which human brains evolved.</w:t>
      </w:r>
    </w:p>
    <w:p w14:paraId="00000007" w14:textId="77777777" w:rsidR="00060BD6" w:rsidRPr="00A4377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2D World: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The screen-mediated environment (PCs, smartphones, tablets) where we spend an ever-increasing portion of our time.</w:t>
      </w:r>
    </w:p>
    <w:p w14:paraId="00000008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This new 2D environment has specific, defining characteristics that differ from the 3D world:</w:t>
      </w:r>
    </w:p>
    <w:p w14:paraId="00000009" w14:textId="77777777" w:rsidR="00060BD6" w:rsidRPr="00A4377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Technology is pervasive ("Tech is everywhere").</w:t>
      </w:r>
    </w:p>
    <w:p w14:paraId="0000000A" w14:textId="77777777" w:rsidR="00060BD6" w:rsidRPr="00A4377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Information is de-contextualised ("Facts can be accessed at random").</w:t>
      </w:r>
    </w:p>
    <w:p w14:paraId="0000000B" w14:textId="77777777" w:rsidR="00060BD6" w:rsidRPr="00A4377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There are no lasting consequences ("Actions can be reverse[d]").</w:t>
      </w:r>
    </w:p>
    <w:p w14:paraId="0000000C" w14:textId="77777777" w:rsidR="00060BD6" w:rsidRPr="00A4377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Time is compressed and non-linear ("Time is short").</w:t>
      </w:r>
    </w:p>
    <w:p w14:paraId="0000000D" w14:textId="77777777" w:rsidR="00060BD6" w:rsidRPr="00A4377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There is an expectation of 24/7 responsiveness and productivity.</w:t>
      </w:r>
    </w:p>
    <w:p w14:paraId="0000000E" w14:textId="77777777" w:rsidR="00060BD6" w:rsidRPr="00A4377E" w:rsidRDefault="00000000">
      <w:pPr>
        <w:pStyle w:val="Titolo3"/>
        <w:spacing w:before="12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Why This Change Is Unique</w:t>
      </w:r>
    </w:p>
    <w:p w14:paraId="0000000F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This technological shift is different from previous ones (like the invention of the car or electricity) for two main reasons:</w:t>
      </w:r>
    </w:p>
    <w:p w14:paraId="00000010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val="en-GB"/>
        </w:rPr>
      </w:pPr>
      <w:r w:rsidRPr="00A4377E">
        <w:rPr>
          <w:rFonts w:ascii="Google Sans Text" w:eastAsia="Google Sans Text" w:hAnsi="Google Sans Text" w:cs="Google Sans Text"/>
          <w:lang w:val="en-GB"/>
        </w:rPr>
        <w:t>A) Pervasiveness</w:t>
      </w:r>
    </w:p>
    <w:p w14:paraId="00000011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val="en-GB"/>
        </w:rPr>
      </w:pPr>
      <w:r w:rsidRPr="00A4377E">
        <w:rPr>
          <w:rFonts w:ascii="Google Sans Text" w:eastAsia="Google Sans Text" w:hAnsi="Google Sans Text" w:cs="Google Sans Text"/>
          <w:lang w:val="en-GB"/>
        </w:rPr>
        <w:t>Digital technology is not just a tool; it has become an all-encompassing environment.</w:t>
      </w:r>
    </w:p>
    <w:p w14:paraId="00000012" w14:textId="77777777" w:rsidR="00060BD6" w:rsidRPr="00A4377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 xml:space="preserve">Statistics (citing 2011-2012 data; e.g., Prensky, 2001; Keen, 2007; Selwyn, 2009; </w:t>
      </w:r>
      <w:proofErr w:type="spellStart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KidScape</w:t>
      </w:r>
      <w:proofErr w:type="spellEnd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, 2011):</w:t>
      </w:r>
    </w:p>
    <w:p w14:paraId="00000013" w14:textId="77777777" w:rsidR="00060BD6" w:rsidRPr="00A4377E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Commerce: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71% of US adults bought goods online.</w:t>
      </w:r>
    </w:p>
    <w:p w14:paraId="00000014" w14:textId="77777777" w:rsidR="00060BD6" w:rsidRPr="00A4377E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Socialising: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22.5% of all online time was spent on social networks.</w:t>
      </w:r>
    </w:p>
    <w:p w14:paraId="00000015" w14:textId="77777777" w:rsidR="00060BD6" w:rsidRPr="00A4377E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Relationships: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Over 1/3 of US couples married 2005-2012 met online.</w:t>
      </w:r>
    </w:p>
    <w:p w14:paraId="00000016" w14:textId="77777777" w:rsidR="00060BD6" w:rsidRPr="00A4377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Behaviour: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It has become the default way to experience life. A 2012 Badoo survey found 24% of social media users reported "missing a key moment" in real life because they were too busy posting about it (Badoo, 2012).</w:t>
      </w:r>
    </w:p>
    <w:p w14:paraId="00000017" w14:textId="77777777" w:rsidR="00060BD6" w:rsidRPr="00A4377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Functionality: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A single device (smartphone/PC) has absorbed dozens of separate real-world functions (work, maps, alarm clock, shopping, news, communication, leisure, etc.).</w:t>
      </w:r>
    </w:p>
    <w:p w14:paraId="00000018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line="275" w:lineRule="auto"/>
        <w:rPr>
          <w:rFonts w:ascii="Google Sans Text" w:eastAsia="Google Sans Text" w:hAnsi="Google Sans Text" w:cs="Google Sans Text"/>
          <w:lang w:val="en-GB"/>
        </w:rPr>
      </w:pPr>
      <w:r w:rsidRPr="00A4377E">
        <w:rPr>
          <w:rFonts w:ascii="Google Sans Text" w:eastAsia="Google Sans Text" w:hAnsi="Google Sans Text" w:cs="Google Sans Text"/>
          <w:lang w:val="en-GB"/>
        </w:rPr>
        <w:t>B) From "Means" to "End"</w:t>
      </w:r>
    </w:p>
    <w:p w14:paraId="00000019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val="en-GB"/>
        </w:rPr>
      </w:pPr>
      <w:r w:rsidRPr="00A4377E">
        <w:rPr>
          <w:rFonts w:ascii="Google Sans Text" w:eastAsia="Google Sans Text" w:hAnsi="Google Sans Text" w:cs="Google Sans Text"/>
          <w:lang w:val="en-GB"/>
        </w:rPr>
        <w:lastRenderedPageBreak/>
        <w:t>This is a crucial distinction. A car is a means to an end (getting from A to B). Electricity is a means to an end (powering a light).</w:t>
      </w:r>
    </w:p>
    <w:p w14:paraId="0000001A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In contrast, the digital environment (like a social network) has become an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end in itself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. It is the "place" where people live, socialise, and build their identity, not just a tool to accomplish a separate task.</w:t>
      </w:r>
    </w:p>
    <w:p w14:paraId="0000001B" w14:textId="77777777" w:rsidR="00060BD6" w:rsidRPr="00A4377E" w:rsidRDefault="00000000">
      <w:pPr>
        <w:pStyle w:val="Titolo3"/>
        <w:spacing w:before="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The Generational Divide</w:t>
      </w:r>
    </w:p>
    <w:p w14:paraId="0000001C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This 2D transition is the first to create a profound generational gap, as defined by Marc Prensky (2001):</w:t>
      </w:r>
    </w:p>
    <w:p w14:paraId="0000001D" w14:textId="77777777" w:rsidR="00060BD6" w:rsidRPr="00A4377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Digital Immigrants: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Those born in the 3D world who "learned the language" of technology as adults. Like someone learning a second language, they will always retain an "accent"—a "foot in the past."</w:t>
      </w:r>
    </w:p>
    <w:p w14:paraId="0000001E" w14:textId="77777777" w:rsidR="00060BD6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Digital Natives: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Those born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into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the 2D world. It is their "mother tongue."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have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known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nothing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else.</w:t>
      </w:r>
    </w:p>
    <w:p w14:paraId="0000001F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The most common modern scenario is that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parents are Digital Immigrants, while their children are Digital Natives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. This creates a fundamental gap in how these two generations perceive and interact with their environment.</w:t>
      </w:r>
    </w:p>
    <w:p w14:paraId="00000020" w14:textId="77777777" w:rsidR="00060BD6" w:rsidRPr="00A4377E" w:rsidRDefault="00000000">
      <w:pPr>
        <w:pStyle w:val="Titolo2"/>
        <w:spacing w:before="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2. How Our Brain Works and Changes</w:t>
      </w:r>
    </w:p>
    <w:p w14:paraId="00000021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This section establishes the biological basis for the lecture's core argument: the human brain is not fixed but is profoundly shaped by experience. This principle is known as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neuroplasticity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.</w:t>
      </w:r>
    </w:p>
    <w:p w14:paraId="00000022" w14:textId="77777777" w:rsidR="00060BD6" w:rsidRPr="00A4377E" w:rsidRDefault="00000000">
      <w:pPr>
        <w:pStyle w:val="Titolo3"/>
        <w:spacing w:before="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The Core Principle: The Brain Adapts</w:t>
      </w:r>
    </w:p>
    <w:p w14:paraId="00000023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The brain is sculpted by a lifetime of experiences. As brain development expert Bryan Kolb (2009) states, "Anything that changes your brain, changes who you will be."</w:t>
      </w:r>
    </w:p>
    <w:p w14:paraId="00000024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This is not a passive process. Experience alters brain activity, which in turn changes gene expression. Behavioural changes reflect physical alterations in the brain, and conversely, behaviour can change the brain.</w:t>
      </w:r>
    </w:p>
    <w:p w14:paraId="00000025" w14:textId="77777777" w:rsidR="00060BD6" w:rsidRPr="00A4377E" w:rsidRDefault="00000000">
      <w:pPr>
        <w:pStyle w:val="Titolo3"/>
        <w:spacing w:before="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Evidence for Neuroplasticity</w:t>
      </w:r>
    </w:p>
    <w:p w14:paraId="00000026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A large body of research demonstrates that the brain physically adapts to the environment and to specific training.</w:t>
      </w:r>
    </w:p>
    <w:p w14:paraId="00000027" w14:textId="77777777" w:rsidR="00060BD6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Animal Studies:</w:t>
      </w:r>
    </w:p>
    <w:p w14:paraId="00000028" w14:textId="77777777" w:rsidR="00060BD6" w:rsidRPr="00A4377E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Historical Evidence (Malacarne, 1783):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Trained dogs and birds showed an increased number of folds in the cerebellum (Doidge, 2007).</w:t>
      </w:r>
    </w:p>
    <w:p w14:paraId="00000029" w14:textId="77777777" w:rsidR="00060BD6" w:rsidRPr="00A4377E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Enriched Environments (Rosenzweig, 1964):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Rats in "enriched cages" (with toys) 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lastRenderedPageBreak/>
        <w:t>developed superior problem-solving skills and measurable physical brain changes compared to rats in "standard cages."</w:t>
      </w:r>
    </w:p>
    <w:p w14:paraId="0000002A" w14:textId="77777777" w:rsidR="00060BD6" w:rsidRPr="00A4377E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Gene-Environment Interaction (Van Dellen et al., 2000):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Mice with the Huntington's disease gene raised in an enriched environment developed movement problems much later and less severely, showing how "nurture" (environment) interacts with "nature" (genes).</w:t>
      </w:r>
    </w:p>
    <w:p w14:paraId="0000002B" w14:textId="77777777" w:rsidR="00060BD6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Human Studies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Specific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Skills):</w:t>
      </w:r>
    </w:p>
    <w:p w14:paraId="0000002C" w14:textId="77777777" w:rsidR="00060BD6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Early Life Plasticity (Bavelier &amp; Neville, 2002):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In cases of early blindness, the visual cortex is not being used for its normal job, so it adapts to process sound inputs.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"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cortical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remapping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" can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result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sharper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hearing.</w:t>
      </w:r>
    </w:p>
    <w:p w14:paraId="0000002D" w14:textId="77777777" w:rsidR="00060BD6" w:rsidRPr="00A4377E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London Taxi Drivers (Maguire et al., 2000):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Compared to controls, taxi drivers had significantly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increased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grey matter volume in the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posterior hippocampus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(spatial navigation). The volume correlated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positively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with the amount of time spent as a taxi driver.</w:t>
      </w:r>
    </w:p>
    <w:p w14:paraId="0000002E" w14:textId="77777777" w:rsidR="00060BD6" w:rsidRPr="00A4377E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Musicians (Elbert et al., 1995):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String players have a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larger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cortical map (representation) for the fingers of their (more active) left hand. These structural differences are linked to the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intensity of practice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.</w:t>
      </w:r>
    </w:p>
    <w:p w14:paraId="0000002F" w14:textId="77777777" w:rsidR="00060BD6" w:rsidRPr="00A4377E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Mathematicians (Aydin et al., 2007):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Grey matter density in the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right inferior parietal region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was strongly correlated with the duration of time the person had spent as an academic mathematician.</w:t>
      </w:r>
    </w:p>
    <w:p w14:paraId="00000030" w14:textId="77777777" w:rsidR="00060BD6" w:rsidRPr="00A4377E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Juggling (</w:t>
      </w:r>
      <w:proofErr w:type="spellStart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Draganski</w:t>
      </w:r>
      <w:proofErr w:type="spellEnd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 xml:space="preserve"> et al., 2004):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After three months of training, subjects showed a significant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expansion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of grey matter in the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mid-temporal area (</w:t>
      </w:r>
      <w:proofErr w:type="spellStart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hMT</w:t>
      </w:r>
      <w:proofErr w:type="spellEnd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/V5)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(motion processing). After three months of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no practice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, this expansion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decreased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, demonstrating the "use it or you will lose it" principle.</w:t>
      </w:r>
    </w:p>
    <w:p w14:paraId="00000031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Given this overwhelming evidence, a pervasive shift from the 3D to the 2D world will inevitably be causing significant and widespread changes to our brains.</w:t>
      </w:r>
    </w:p>
    <w:p w14:paraId="00000032" w14:textId="77777777" w:rsidR="00060BD6" w:rsidRPr="00A4377E" w:rsidRDefault="00000000">
      <w:pPr>
        <w:pStyle w:val="Titolo2"/>
        <w:spacing w:before="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3. Effects on Identity and Relationship</w:t>
      </w:r>
    </w:p>
    <w:p w14:paraId="00000033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This section explores how the "2D world," particularly social media, is fundamentally changing our concepts of self and our methods of social interaction.</w:t>
      </w:r>
    </w:p>
    <w:p w14:paraId="00000034" w14:textId="77777777" w:rsidR="00060BD6" w:rsidRPr="00A4377E" w:rsidRDefault="00000000">
      <w:pPr>
        <w:pStyle w:val="Titolo3"/>
        <w:spacing w:before="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Effects on Identity</w:t>
      </w:r>
    </w:p>
    <w:p w14:paraId="00000035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The digital world provides a new medium for self-expression, which has led to new forms of identity. Psychological theories have proposed different versions of the self, and the digital world has added new layers:</w:t>
      </w:r>
    </w:p>
    <w:p w14:paraId="00000036" w14:textId="77777777" w:rsidR="00060BD6" w:rsidRPr="00A4377E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Real (life) Self: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The conventional self, constrained by face-to-face social norms.</w:t>
      </w:r>
    </w:p>
    <w:p w14:paraId="00000037" w14:textId="77777777" w:rsidR="00060BD6" w:rsidRPr="00A4377E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True Self (Carl Rogers, 1951):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The internal self, based on existing characteristics that are not always expressed in social life.</w:t>
      </w:r>
    </w:p>
    <w:p w14:paraId="00000038" w14:textId="77777777" w:rsidR="00060BD6" w:rsidRPr="00A4377E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"Hoped-for, possible self" (Zhao et al., 2008):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This is the modern social media self. It 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lastRenderedPageBreak/>
        <w:t xml:space="preserve">is a curated identity that represents not who we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are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, but who we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want to be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(or who we want others to think we are).</w:t>
      </w:r>
    </w:p>
    <w:p w14:paraId="00000039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A </w:t>
      </w:r>
      <w:proofErr w:type="spellStart"/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KidScape</w:t>
      </w:r>
      <w:proofErr w:type="spellEnd"/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(2011) survey found that 50% of young people (11-18) lie about personal details online to create identities that are "more sexy" or "more adventurous."</w:t>
      </w:r>
    </w:p>
    <w:p w14:paraId="0000003A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A study by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Meshi et al. (2016)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found that the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degree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of self-related sharing on Facebook was positively correlated with the resting-state functional connectivity between the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Medial Prefrontal Cortex (MPFC)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(self-referential thought) and the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Dorsolateral Prefrontal Cortex (DLPFC)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(executive function).</w:t>
      </w:r>
    </w:p>
    <w:p w14:paraId="0000003B" w14:textId="77777777" w:rsidR="00060BD6" w:rsidRPr="00A4377E" w:rsidRDefault="00000000">
      <w:pPr>
        <w:pStyle w:val="Titolo3"/>
        <w:spacing w:before="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The Reward of Sharing and "Likes"</w:t>
      </w:r>
    </w:p>
    <w:p w14:paraId="0000003C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Sharing information about oneself is intrinsically rewarding.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Tamir &amp; Mitchell (2012)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demonstrated that self-disclosure activates the brain's core reward systems—specifically the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Nucleus Accumbens (</w:t>
      </w:r>
      <w:proofErr w:type="spellStart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NAcc</w:t>
      </w:r>
      <w:proofErr w:type="spellEnd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)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—in the same way that primary rewards like food and sex do.</w:t>
      </w:r>
    </w:p>
    <w:p w14:paraId="0000003D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Social media provides "Quantifiable Social Endorsement" (QSE) in the form of "likes," which powerfully leverages this reward circuitry, particularly in adolescents.</w:t>
      </w:r>
    </w:p>
    <w:p w14:paraId="0000003E" w14:textId="77777777" w:rsidR="00060BD6" w:rsidRPr="00A4377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An fMRI study by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Sherman et al. (2016)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found that viewing photos with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many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likes (vs. few) was associated with greater activity in the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Nucleus Accumbens (</w:t>
      </w:r>
      <w:proofErr w:type="spellStart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NAcc</w:t>
      </w:r>
      <w:proofErr w:type="spellEnd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)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.</w:t>
      </w:r>
    </w:p>
    <w:p w14:paraId="0000003F" w14:textId="77777777" w:rsidR="00060BD6" w:rsidRPr="00A4377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Behaviourally, participants were more likely to "like" a photo (even of risky behaviour) if it was already popular.</w:t>
      </w:r>
    </w:p>
    <w:p w14:paraId="00000040" w14:textId="77777777" w:rsidR="00060BD6" w:rsidRPr="00A4377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This </w:t>
      </w:r>
      <w:proofErr w:type="spellStart"/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NAcc</w:t>
      </w:r>
      <w:proofErr w:type="spellEnd"/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responsivity to social reward appears to peak around age 16-17, highlighting a key window of vulnerability.</w:t>
      </w:r>
    </w:p>
    <w:p w14:paraId="00000041" w14:textId="77777777" w:rsidR="00060BD6" w:rsidRPr="00A4377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The features of social media (instant gratification, unpredictability) make them powerful "dopamine triggers" (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Weinschenk, 2009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).</w:t>
      </w:r>
    </w:p>
    <w:p w14:paraId="00000042" w14:textId="77777777" w:rsidR="00060BD6" w:rsidRPr="00A4377E" w:rsidRDefault="00000000">
      <w:pPr>
        <w:pStyle w:val="Titolo3"/>
        <w:spacing w:before="12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Effects on Social Relationships</w:t>
      </w:r>
    </w:p>
    <w:p w14:paraId="00000043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The transition to a 2D world has changed the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quantity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,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quality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, and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style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of our social relationships.</w:t>
      </w:r>
    </w:p>
    <w:p w14:paraId="00000044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While the number of online "friends" has grown (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Kanai et al., 2011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), the number of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true confidants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(people with whom one can discuss important matters) is declining (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McPherson et al., 2006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).</w:t>
      </w:r>
    </w:p>
    <w:p w14:paraId="00000045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val="en-GB"/>
        </w:rPr>
      </w:pPr>
      <w:r w:rsidRPr="00A4377E">
        <w:rPr>
          <w:rFonts w:ascii="Google Sans Text" w:eastAsia="Google Sans Text" w:hAnsi="Google Sans Text" w:cs="Google Sans Text"/>
          <w:lang w:val="en-GB"/>
        </w:rPr>
        <w:t>We are also spending less time in face-to-face interaction and more time in non-oral, text-based communication (Ofcom, 2012). This shift has a significant, measurable physiological consequence.</w:t>
      </w:r>
    </w:p>
    <w:p w14:paraId="00000046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lang w:val="en-GB"/>
        </w:rPr>
      </w:pPr>
      <w:r w:rsidRPr="00A4377E">
        <w:rPr>
          <w:rFonts w:ascii="Google Sans Text" w:eastAsia="Google Sans Text" w:hAnsi="Google Sans Text" w:cs="Google Sans Text"/>
          <w:lang w:val="en-GB"/>
        </w:rPr>
        <w:t>A key study by Seltzer et al. (2012) investigated the hormonal effects of different types of social support after a stress test:</w:t>
      </w:r>
    </w:p>
    <w:p w14:paraId="00000047" w14:textId="77777777" w:rsidR="00060BD6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Hormonal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Results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00000048" w14:textId="77777777" w:rsidR="00060BD6" w:rsidRPr="00A4377E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lastRenderedPageBreak/>
        <w:t>Full Contact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(in person) and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Verbal Contact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(by phone) led to an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increase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in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Oxytocin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(the "bonding" hormone) and a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decrease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in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Cortisol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(the "stress" hormone).</w:t>
      </w:r>
    </w:p>
    <w:p w14:paraId="00000049" w14:textId="77777777" w:rsidR="00060BD6" w:rsidRPr="00A4377E" w:rsidRDefault="00000000">
      <w:pPr>
        <w:numPr>
          <w:ilvl w:val="1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Instant Message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(text only) and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No Contact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groups showed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no increase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in oxytocin and their cortisol levels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remained high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.</w:t>
      </w:r>
    </w:p>
    <w:p w14:paraId="0000004A" w14:textId="77777777" w:rsidR="00060BD6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Conclusion: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The purely textual information in an instant message is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not enough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to provide physiological emotional support. </w:t>
      </w:r>
      <w:r>
        <w:rPr>
          <w:rFonts w:ascii="Google Sans Text" w:eastAsia="Google Sans Text" w:hAnsi="Google Sans Text" w:cs="Google Sans Text"/>
          <w:color w:val="1B1C1D"/>
        </w:rPr>
        <w:t xml:space="preserve">The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prosodic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cues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(the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tone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of voice) are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critical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4B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This shift has been linked to a general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decline in empathy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Konrath et al., 2011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) and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deficits in face processing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He et al., 2011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). The N170 effect (a brainwave component for face processing) was found to be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significantly smaller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in excessive internet users (EIUs).</w:t>
      </w:r>
    </w:p>
    <w:p w14:paraId="0000004C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Finally, the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Nucleus Accumbens (</w:t>
      </w:r>
      <w:proofErr w:type="spellStart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NAcc</w:t>
      </w:r>
      <w:proofErr w:type="spellEnd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)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is biologically linked to social media usage. Studies show </w:t>
      </w:r>
      <w:proofErr w:type="spellStart"/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NAcc</w:t>
      </w:r>
      <w:proofErr w:type="spellEnd"/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sensitivity to reputation predicts Facebook use (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Meshi et al., 2013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), and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lower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</w:t>
      </w:r>
      <w:proofErr w:type="spellStart"/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NAcc</w:t>
      </w:r>
      <w:proofErr w:type="spellEnd"/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volume is associated with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higher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frequency of checking Facebook (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Montag et al., 2017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), pointing to a potential biological basis for addictive-like behaviour.</w:t>
      </w:r>
    </w:p>
    <w:p w14:paraId="0000004D" w14:textId="77777777" w:rsidR="00060BD6" w:rsidRPr="00A4377E" w:rsidRDefault="00000000">
      <w:pPr>
        <w:pStyle w:val="Titolo2"/>
        <w:spacing w:before="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4. Effects on Free Time, Aggression, and Attention</w:t>
      </w:r>
    </w:p>
    <w:p w14:paraId="0000004E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This section explores the impact of videogames, a primary "2D world" activity, on the brain's reward system, aggression, and attentional capabilities.</w:t>
      </w:r>
    </w:p>
    <w:p w14:paraId="0000004F" w14:textId="77777777" w:rsidR="00060BD6" w:rsidRPr="00A4377E" w:rsidRDefault="00000000">
      <w:pPr>
        <w:pStyle w:val="Titolo3"/>
        <w:spacing w:before="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Videogames, Free Time, and Addiction</w:t>
      </w:r>
    </w:p>
    <w:p w14:paraId="00000050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Videogaming is a dominant leisure activity, displacing other activities like reading and homework (Homer et al., 2012; Cummings &amp; Vandewater, 2007).</w:t>
      </w:r>
    </w:p>
    <w:p w14:paraId="00000051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This intense engagement is linked to the brain's reward system and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dopamine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(Weinstein &amp; </w:t>
      </w:r>
      <w:proofErr w:type="spellStart"/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Lejoyeux</w:t>
      </w:r>
      <w:proofErr w:type="spellEnd"/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, 2010). Studies show that frequent video game players show an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enlargement of the ventral striatum (</w:t>
      </w:r>
      <w:proofErr w:type="spellStart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NAcc</w:t>
      </w:r>
      <w:proofErr w:type="spellEnd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)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, a feature also seen in pathological gamblers (Kühn et al., 2011).</w:t>
      </w:r>
    </w:p>
    <w:p w14:paraId="00000052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This leads to a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"chicken and egg" dilemma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:</w:t>
      </w:r>
    </w:p>
    <w:p w14:paraId="00000053" w14:textId="77777777" w:rsidR="00060BD6" w:rsidRPr="00A4377E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The "Chicken" (Gaming changes the brain):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Kühn et al. (2011) found that the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more time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spent gaming, the more pronounced the expansion of the left ventral striatum.</w:t>
      </w:r>
    </w:p>
    <w:p w14:paraId="00000054" w14:textId="77777777" w:rsidR="00060BD6" w:rsidRPr="00A4377E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The "Egg" (The brain predisposes to gaming):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Erickson et al. (2010) found that the volume of the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dorsal striatum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(sensorimotor control)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before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training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predicted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skill acquisition in a new videogame.</w:t>
      </w:r>
    </w:p>
    <w:p w14:paraId="00000055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A possible resolution is that a larger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dorsal striatum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might predispose someone to be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good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at games, while the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act of playing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then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changes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the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ventral striatum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(the reward system).</w:t>
      </w:r>
    </w:p>
    <w:p w14:paraId="00000056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Different game genres are also linked to different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arousal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patterns (Metcalf &amp; Pammer, 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lastRenderedPageBreak/>
        <w:t>2014):</w:t>
      </w:r>
    </w:p>
    <w:p w14:paraId="00000057" w14:textId="77777777" w:rsidR="00060BD6" w:rsidRPr="00A4377E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First-Person Shooters (FPS):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Linked to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higher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arousal during play ("thrill-seeking" model).</w:t>
      </w:r>
    </w:p>
    <w:p w14:paraId="00000058" w14:textId="77777777" w:rsidR="00060BD6" w:rsidRPr="00A4377E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MMORPGs: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Linked to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decreased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arousal during play ("escapist" model).</w:t>
      </w:r>
    </w:p>
    <w:p w14:paraId="00000059" w14:textId="77777777" w:rsidR="00060BD6" w:rsidRPr="00A4377E" w:rsidRDefault="00000000">
      <w:pPr>
        <w:pStyle w:val="Titolo3"/>
        <w:spacing w:before="12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Videogames and Aggression</w:t>
      </w:r>
    </w:p>
    <w:p w14:paraId="0000005A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A large body of research explores the link between violent videogames and aggression.</w:t>
      </w:r>
    </w:p>
    <w:p w14:paraId="0000005B" w14:textId="77777777" w:rsidR="00060BD6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Behavioural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Aggression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0000005C" w14:textId="77777777" w:rsidR="00060BD6" w:rsidRPr="00A4377E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proofErr w:type="spellStart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Konijn</w:t>
      </w:r>
      <w:proofErr w:type="spellEnd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 xml:space="preserve"> et al. (2007):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Found that adolescent boys who "wishfully identified" with a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realistic violent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game character were the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most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aggressive, willing to use noise levels they believed could cause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permanent hearing damage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to a partner.</w:t>
      </w:r>
    </w:p>
    <w:p w14:paraId="0000005D" w14:textId="77777777" w:rsidR="00060BD6" w:rsidRPr="00A4377E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Hasan et al. (2012):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Found that violent games increase "hostile expectation bias" (the tendency to perceive hostile intent), which in turn increases aggression.</w:t>
      </w:r>
    </w:p>
    <w:p w14:paraId="0000005E" w14:textId="77777777" w:rsidR="00060BD6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Physiological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Effects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Desensitisation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):</w:t>
      </w:r>
    </w:p>
    <w:p w14:paraId="0000005F" w14:textId="77777777" w:rsidR="00060BD6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Carnagey et al. (2007):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Participants who played a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violent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game showed a significantly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lower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heart rate (HR) and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lower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galvanic skin response (GSR) while watching videos of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real-life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violence.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They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were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physiologically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desensitised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00000060" w14:textId="77777777" w:rsidR="00060BD6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Brain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Correlates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:</w:t>
      </w:r>
    </w:p>
    <w:p w14:paraId="00000061" w14:textId="77777777" w:rsidR="00060BD6" w:rsidRPr="00A4377E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Mathiak &amp; Weber (2006):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fMRI studies show that playing violent games is correlated with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deactivation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in emotional regions like the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Rostral Anterior Cingulate (</w:t>
      </w:r>
      <w:proofErr w:type="spellStart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rACC</w:t>
      </w:r>
      <w:proofErr w:type="spellEnd"/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)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and the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Amygdala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. This suggests emotional and empathetic brain regions are suppressed to allow the player to act violently without hesitation.</w:t>
      </w:r>
    </w:p>
    <w:p w14:paraId="00000062" w14:textId="77777777" w:rsidR="00060BD6" w:rsidRPr="00A4377E" w:rsidRDefault="00000000">
      <w:pPr>
        <w:pStyle w:val="Titolo3"/>
        <w:spacing w:before="12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Videogames and Attention</w:t>
      </w:r>
    </w:p>
    <w:p w14:paraId="00000063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The impact of gaming on attention is twofold, creating both benefits and deficits.</w:t>
      </w:r>
    </w:p>
    <w:p w14:paraId="00000064" w14:textId="77777777" w:rsidR="00060BD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The "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Bad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"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Sustained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Attention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):</w:t>
      </w:r>
    </w:p>
    <w:p w14:paraId="00000065" w14:textId="77777777" w:rsidR="00060BD6" w:rsidRPr="00A4377E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Gaming is linked to more teacher-reported attention problems (Swing et al., 2010).</w:t>
      </w:r>
    </w:p>
    <w:p w14:paraId="00000066" w14:textId="77777777" w:rsidR="00060BD6" w:rsidRPr="00A4377E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The link is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bidirectional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: gaming can lead to attention problems, and those with attention problems are drawn to gaming (Gentile et al., 2012).</w:t>
      </w:r>
    </w:p>
    <w:p w14:paraId="00000067" w14:textId="77777777" w:rsidR="00060BD6" w:rsidRPr="00A4377E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Gaming experience is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negatively associated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with "proactive control," or the ability to sustain attention (Bailey et al., 2010).</w:t>
      </w:r>
    </w:p>
    <w:p w14:paraId="00000068" w14:textId="77777777" w:rsidR="00060BD6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B1C1D"/>
        </w:rPr>
        <w:t>The "Good" 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Selective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Attention</w:t>
      </w:r>
      <w:proofErr w:type="spellEnd"/>
      <w:r>
        <w:rPr>
          <w:rFonts w:ascii="Google Sans Text" w:eastAsia="Google Sans Text" w:hAnsi="Google Sans Text" w:cs="Google Sans Text"/>
          <w:b/>
          <w:bCs/>
          <w:color w:val="1B1C1D"/>
        </w:rPr>
        <w:t>):</w:t>
      </w:r>
    </w:p>
    <w:p w14:paraId="00000069" w14:textId="77777777" w:rsidR="00060BD6" w:rsidRPr="00A4377E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Green &amp; Bavelier (2003):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This classic study found that experienced action gamers were significantly better than non-gamers at visual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selective attention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tasks (e.g., tracking multiple objects). They proved causality by training non-gamers, who then showed the same improvements.</w:t>
      </w:r>
    </w:p>
    <w:p w14:paraId="0000006A" w14:textId="77777777" w:rsidR="00060BD6" w:rsidRPr="00A4377E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Appelbaum et al. (2013):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Found that action gamers have improved visual sensitivity. They can "extract more information from a visual scene... and they do it faster."</w:t>
      </w:r>
    </w:p>
    <w:p w14:paraId="0000006B" w14:textId="77777777" w:rsidR="00060BD6" w:rsidRPr="00A4377E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Real-World Application: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These skills are why experienced gamers have been shown 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lastRenderedPageBreak/>
        <w:t>to make excellent drone pilots (McKinley et al., 2011).</w:t>
      </w:r>
    </w:p>
    <w:p w14:paraId="0000006C" w14:textId="77777777" w:rsidR="00060BD6" w:rsidRPr="00A4377E" w:rsidRDefault="00000000">
      <w:pPr>
        <w:pStyle w:val="Titolo2"/>
        <w:spacing w:before="12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5. Effects on Memory and Learning</w:t>
      </w:r>
    </w:p>
    <w:p w14:paraId="0000006D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This final section explores how constant information access and multitasking are changing cognitive functions related to learning.</w:t>
      </w:r>
    </w:p>
    <w:p w14:paraId="0000006E" w14:textId="77777777" w:rsidR="00060BD6" w:rsidRPr="00A4377E" w:rsidRDefault="00000000">
      <w:pPr>
        <w:pStyle w:val="Titolo3"/>
        <w:spacing w:before="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The "Google Effect" (Transactive Memory)</w:t>
      </w:r>
    </w:p>
    <w:p w14:paraId="0000006F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The internet has become a primary form of "transactive memory," an external system where information is stored collectively outside ourselves.</w:t>
      </w:r>
    </w:p>
    <w:p w14:paraId="00000070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A key study by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Sparrow, Liu, &amp; Wegner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investigated this:</w:t>
      </w:r>
    </w:p>
    <w:p w14:paraId="00000071" w14:textId="77777777" w:rsidR="00060BD6" w:rsidRPr="00A4377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Experiment 1 (Priming):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When faced with difficult trivia questions, participants were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primed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to think of computer-related words.</w:t>
      </w:r>
    </w:p>
    <w:p w14:paraId="00000072" w14:textId="77777777" w:rsidR="00060BD6" w:rsidRPr="00A4377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Experiment 2 (Encoding):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The group that believed trivia statements would be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saved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had significantly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worse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memory for the information itself.</w:t>
      </w:r>
    </w:p>
    <w:p w14:paraId="00000073" w14:textId="77777777" w:rsidR="00060BD6" w:rsidRPr="00A4377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Experiment 3 &amp; 4 (Remembering "Where" vs. "What"):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Participants had the best memory for the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content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of statements they believed had been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erased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. However, they were generally better at remembering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where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information was stored (i.e., which folder) than the information itself.</w:t>
      </w:r>
    </w:p>
    <w:p w14:paraId="00000074" w14:textId="77777777" w:rsidR="00060BD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Conclusion: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We are adapting our memory to prioritise remembering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how to find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information (the "where") rather than the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information itself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(the "what").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This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affects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B1C1D"/>
        </w:rPr>
        <w:t xml:space="preserve">semantic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B1C1D"/>
        </w:rPr>
        <w:t>memory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(general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facts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).</w:t>
      </w:r>
    </w:p>
    <w:p w14:paraId="00000075" w14:textId="77777777" w:rsidR="00060BD6" w:rsidRDefault="00000000">
      <w:pPr>
        <w:pStyle w:val="Titolo3"/>
        <w:spacing w:before="12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 xml:space="preserve">Information </w:t>
      </w:r>
      <w:proofErr w:type="spellStart"/>
      <w:r>
        <w:rPr>
          <w:rFonts w:ascii="Google Sans" w:eastAsia="Google Sans" w:hAnsi="Google Sans" w:cs="Google Sans"/>
          <w:color w:val="1B1C1D"/>
        </w:rPr>
        <w:t>Seeking</w:t>
      </w:r>
      <w:proofErr w:type="spellEnd"/>
      <w:r>
        <w:rPr>
          <w:rFonts w:ascii="Google Sans" w:eastAsia="Google Sans" w:hAnsi="Google Sans" w:cs="Google Sans"/>
          <w:color w:val="1B1C1D"/>
        </w:rPr>
        <w:t xml:space="preserve"> (</w:t>
      </w:r>
      <w:proofErr w:type="spellStart"/>
      <w:r>
        <w:rPr>
          <w:rFonts w:ascii="Google Sans" w:eastAsia="Google Sans" w:hAnsi="Google Sans" w:cs="Google Sans"/>
          <w:color w:val="1B1C1D"/>
        </w:rPr>
        <w:t>Googling</w:t>
      </w:r>
      <w:proofErr w:type="spellEnd"/>
      <w:r>
        <w:rPr>
          <w:rFonts w:ascii="Google Sans" w:eastAsia="Google Sans" w:hAnsi="Google Sans" w:cs="Google Sans"/>
          <w:color w:val="1B1C1D"/>
        </w:rPr>
        <w:t>)</w:t>
      </w:r>
    </w:p>
    <w:p w14:paraId="00000076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The act of searching is a distinct cognitive skill that physically changes the brain.</w:t>
      </w:r>
    </w:p>
    <w:p w14:paraId="00000077" w14:textId="77777777" w:rsidR="00060BD6" w:rsidRPr="00A4377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Small et al.: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An fMRI study found that "Net Savvy" (experienced) older adults showed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increased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activation in regions for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decision-making and complex reasoning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while searching, compared to "Net Naïve" users. After just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five days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of training, the "Naïve" group's brains began to look like the "Savvy" group's.</w:t>
      </w:r>
    </w:p>
    <w:p w14:paraId="00000078" w14:textId="77777777" w:rsidR="00060BD6" w:rsidRPr="00A4377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Desjarlais: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An eye-tracking study found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High-Attention Students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used a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linear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search (search engine -&gt; link -&gt; search engine) and performed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better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on a comprehension test.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Low-Attention Students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jumped between hyperlinks in a non-linear way, got lost in irrelevant sources, and performed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worse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.</w:t>
      </w:r>
    </w:p>
    <w:p w14:paraId="00000079" w14:textId="77777777" w:rsidR="00060BD6" w:rsidRPr="00A4377E" w:rsidRDefault="00000000">
      <w:pPr>
        <w:pStyle w:val="Titolo3"/>
        <w:spacing w:before="12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Reading on Paper vs. Screen</w:t>
      </w:r>
    </w:p>
    <w:p w14:paraId="0000007A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The physical medium we use for reading has a measurable impact on comprehension and fatigue.</w:t>
      </w:r>
    </w:p>
    <w:p w14:paraId="0000007B" w14:textId="77777777" w:rsidR="00060BD6" w:rsidRPr="00A4377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Mangen et al.: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Students who read texts in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print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scored significantly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better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on a reading comprehension test than those who read the same text as a PDF.</w:t>
      </w:r>
    </w:p>
    <w:p w14:paraId="0000007C" w14:textId="77777777" w:rsidR="00060BD6" w:rsidRPr="00A4377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lastRenderedPageBreak/>
        <w:t>Jeong: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This study confirmed that students had better reading comprehension from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paper books (p-books)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. Using CFF (critical flicker/fusion frequency) to measure eye fatigue, it also found students had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significantly greater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eye fatigue after reading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e-books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.</w:t>
      </w:r>
    </w:p>
    <w:p w14:paraId="0000007D" w14:textId="77777777" w:rsidR="00060BD6" w:rsidRPr="00A4377E" w:rsidRDefault="00000000">
      <w:pPr>
        <w:pStyle w:val="Titolo3"/>
        <w:spacing w:before="120" w:after="120" w:line="275" w:lineRule="auto"/>
        <w:rPr>
          <w:rFonts w:ascii="Google Sans" w:eastAsia="Google Sans" w:hAnsi="Google Sans" w:cs="Google Sans"/>
          <w:color w:val="1B1C1D"/>
          <w:lang w:val="en-GB"/>
        </w:rPr>
      </w:pPr>
      <w:r w:rsidRPr="00A4377E">
        <w:rPr>
          <w:rFonts w:ascii="Google Sans" w:eastAsia="Google Sans" w:hAnsi="Google Sans" w:cs="Google Sans"/>
          <w:color w:val="1B1C1D"/>
          <w:lang w:val="en-GB"/>
        </w:rPr>
        <w:t>Media Multitasking and Cognitive Control</w:t>
      </w:r>
    </w:p>
    <w:p w14:paraId="0000007E" w14:textId="77777777" w:rsidR="00060BD6" w:rsidRPr="00A4377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  <w:lang w:val="en-GB"/>
        </w:rPr>
      </w:pP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A defining feature of the digital world is "media multitasking." Research shows this is not a skill but a detriment to cognitive control.</w:t>
      </w:r>
    </w:p>
    <w:p w14:paraId="0000007F" w14:textId="77777777" w:rsidR="00060BD6" w:rsidRPr="00A4377E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Ophir et al. (2009):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This foundational study identified Heavy Media Multitaskers (HMMs) and Light Media Multitaskers (LMMs).</w:t>
      </w:r>
    </w:p>
    <w:p w14:paraId="00000080" w14:textId="77777777" w:rsidR="00060BD6" w:rsidRPr="00A4377E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Task (Filtering):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Participants were told to focus on red bars and ignore distracting blue bars.</w:t>
      </w:r>
    </w:p>
    <w:p w14:paraId="00000081" w14:textId="77777777" w:rsidR="00060BD6" w:rsidRPr="00A4377E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Finding: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The LMMs (Light Multitaskers) successfully ignored the distractors. The HMMs (Heavy Multitaskers)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could not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. Their performance got progressively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worse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as the number of distracting items increased.</w:t>
      </w:r>
    </w:p>
    <w:p w14:paraId="00000082" w14:textId="77777777" w:rsidR="00060BD6" w:rsidRPr="00A4377E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lang w:val="en-GB"/>
        </w:rPr>
      </w:pP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Conclusion: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Chronic media multitaskers are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not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better at multitasking. They are </w:t>
      </w:r>
      <w:r w:rsidRPr="00A4377E">
        <w:rPr>
          <w:rFonts w:ascii="Google Sans Text" w:eastAsia="Google Sans Text" w:hAnsi="Google Sans Text" w:cs="Google Sans Text"/>
          <w:i/>
          <w:iCs/>
          <w:color w:val="1B1C1D"/>
          <w:lang w:val="en-GB"/>
        </w:rPr>
        <w:t>worse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 xml:space="preserve"> at a fundamental cognitive skill: </w:t>
      </w:r>
      <w:r w:rsidRPr="00A4377E">
        <w:rPr>
          <w:rFonts w:ascii="Google Sans Text" w:eastAsia="Google Sans Text" w:hAnsi="Google Sans Text" w:cs="Google Sans Text"/>
          <w:b/>
          <w:bCs/>
          <w:color w:val="1B1C1D"/>
          <w:lang w:val="en-GB"/>
        </w:rPr>
        <w:t>filtering out irrelevant information</w:t>
      </w:r>
      <w:r w:rsidRPr="00A4377E">
        <w:rPr>
          <w:rFonts w:ascii="Google Sans Text" w:eastAsia="Google Sans Text" w:hAnsi="Google Sans Text" w:cs="Google Sans Text"/>
          <w:color w:val="1B1C1D"/>
          <w:lang w:val="en-GB"/>
        </w:rPr>
        <w:t>.</w:t>
      </w:r>
    </w:p>
    <w:sectPr w:rsidR="00060BD6" w:rsidRPr="00A4377E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Italic r:id="rId1" w:fontKey="{D1D7D07F-947B-4A34-9F67-DAF522503EDA}"/>
  </w:font>
  <w:font w:name="Google Sans">
    <w:charset w:val="00"/>
    <w:family w:val="auto"/>
    <w:pitch w:val="default"/>
    <w:embedBold r:id="rId2" w:fontKey="{E5BA3FFA-2D98-490F-ADE8-E4EB93F70C1C}"/>
  </w:font>
  <w:font w:name="Google Sans Text">
    <w:charset w:val="00"/>
    <w:family w:val="auto"/>
    <w:pitch w:val="default"/>
    <w:embedRegular r:id="rId3" w:fontKey="{F132CA0B-5E86-40DD-8641-1FD595ECAD7F}"/>
    <w:embedBold r:id="rId4" w:fontKey="{2C7085D2-B301-4408-9E68-03C41A205607}"/>
    <w:embedItalic r:id="rId5" w:fontKey="{258DBF8E-C3D2-49F2-B46F-AD9657B23D2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E950F026-1AD4-4815-91AA-727E0551092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9A71820B-820B-4FF1-AF2E-23EA6EFD262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52817"/>
    <w:multiLevelType w:val="multilevel"/>
    <w:tmpl w:val="57F245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6B85EC7"/>
    <w:multiLevelType w:val="multilevel"/>
    <w:tmpl w:val="ABD6E04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ACE295F"/>
    <w:multiLevelType w:val="multilevel"/>
    <w:tmpl w:val="B06A40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12574317"/>
    <w:multiLevelType w:val="multilevel"/>
    <w:tmpl w:val="000ABAA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3D75250"/>
    <w:multiLevelType w:val="multilevel"/>
    <w:tmpl w:val="3B50DBF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45E11A5"/>
    <w:multiLevelType w:val="multilevel"/>
    <w:tmpl w:val="181AED6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14BB06D2"/>
    <w:multiLevelType w:val="multilevel"/>
    <w:tmpl w:val="C33EC7E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14ED0314"/>
    <w:multiLevelType w:val="multilevel"/>
    <w:tmpl w:val="74AA40E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20190B14"/>
    <w:multiLevelType w:val="multilevel"/>
    <w:tmpl w:val="55B0CA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20AA5EE0"/>
    <w:multiLevelType w:val="multilevel"/>
    <w:tmpl w:val="EB3032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238447AB"/>
    <w:multiLevelType w:val="multilevel"/>
    <w:tmpl w:val="3DF661C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26CD5248"/>
    <w:multiLevelType w:val="multilevel"/>
    <w:tmpl w:val="A0F8E91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2F9A5CFB"/>
    <w:multiLevelType w:val="multilevel"/>
    <w:tmpl w:val="7A4EA8C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24700B5"/>
    <w:multiLevelType w:val="multilevel"/>
    <w:tmpl w:val="9D54452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34D62C4D"/>
    <w:multiLevelType w:val="multilevel"/>
    <w:tmpl w:val="8DC40D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367E41A5"/>
    <w:multiLevelType w:val="multilevel"/>
    <w:tmpl w:val="13DE8F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39AD5ACE"/>
    <w:multiLevelType w:val="multilevel"/>
    <w:tmpl w:val="B230536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44F652CF"/>
    <w:multiLevelType w:val="multilevel"/>
    <w:tmpl w:val="4D9236B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4CFF09DA"/>
    <w:multiLevelType w:val="multilevel"/>
    <w:tmpl w:val="31C01B3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557E160B"/>
    <w:multiLevelType w:val="multilevel"/>
    <w:tmpl w:val="D56E72D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5D083546"/>
    <w:multiLevelType w:val="multilevel"/>
    <w:tmpl w:val="0A5E1A2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6170433F"/>
    <w:multiLevelType w:val="multilevel"/>
    <w:tmpl w:val="0102E6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63656C9F"/>
    <w:multiLevelType w:val="multilevel"/>
    <w:tmpl w:val="DFCAC2E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66830F93"/>
    <w:multiLevelType w:val="multilevel"/>
    <w:tmpl w:val="35488D3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6DFB0417"/>
    <w:multiLevelType w:val="multilevel"/>
    <w:tmpl w:val="1332CC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742C10F0"/>
    <w:multiLevelType w:val="multilevel"/>
    <w:tmpl w:val="E6E22B2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323390804">
    <w:abstractNumId w:val="12"/>
  </w:num>
  <w:num w:numId="2" w16cid:durableId="3292101">
    <w:abstractNumId w:val="16"/>
  </w:num>
  <w:num w:numId="3" w16cid:durableId="1374303090">
    <w:abstractNumId w:val="22"/>
  </w:num>
  <w:num w:numId="4" w16cid:durableId="142046104">
    <w:abstractNumId w:val="20"/>
  </w:num>
  <w:num w:numId="5" w16cid:durableId="937297048">
    <w:abstractNumId w:val="9"/>
  </w:num>
  <w:num w:numId="6" w16cid:durableId="98453181">
    <w:abstractNumId w:val="10"/>
  </w:num>
  <w:num w:numId="7" w16cid:durableId="950011052">
    <w:abstractNumId w:val="19"/>
  </w:num>
  <w:num w:numId="8" w16cid:durableId="72047072">
    <w:abstractNumId w:val="4"/>
  </w:num>
  <w:num w:numId="9" w16cid:durableId="2118331620">
    <w:abstractNumId w:val="18"/>
  </w:num>
  <w:num w:numId="10" w16cid:durableId="450367549">
    <w:abstractNumId w:val="2"/>
  </w:num>
  <w:num w:numId="11" w16cid:durableId="2124958620">
    <w:abstractNumId w:val="1"/>
  </w:num>
  <w:num w:numId="12" w16cid:durableId="187646142">
    <w:abstractNumId w:val="13"/>
  </w:num>
  <w:num w:numId="13" w16cid:durableId="1707682880">
    <w:abstractNumId w:val="24"/>
  </w:num>
  <w:num w:numId="14" w16cid:durableId="1517186164">
    <w:abstractNumId w:val="11"/>
  </w:num>
  <w:num w:numId="15" w16cid:durableId="854340284">
    <w:abstractNumId w:val="23"/>
  </w:num>
  <w:num w:numId="16" w16cid:durableId="386148566">
    <w:abstractNumId w:val="0"/>
  </w:num>
  <w:num w:numId="17" w16cid:durableId="848712423">
    <w:abstractNumId w:val="25"/>
  </w:num>
  <w:num w:numId="18" w16cid:durableId="1130785509">
    <w:abstractNumId w:val="3"/>
  </w:num>
  <w:num w:numId="19" w16cid:durableId="258222945">
    <w:abstractNumId w:val="7"/>
  </w:num>
  <w:num w:numId="20" w16cid:durableId="1436752134">
    <w:abstractNumId w:val="6"/>
  </w:num>
  <w:num w:numId="21" w16cid:durableId="1717504319">
    <w:abstractNumId w:val="15"/>
  </w:num>
  <w:num w:numId="22" w16cid:durableId="2047869862">
    <w:abstractNumId w:val="21"/>
  </w:num>
  <w:num w:numId="23" w16cid:durableId="2127889443">
    <w:abstractNumId w:val="17"/>
  </w:num>
  <w:num w:numId="24" w16cid:durableId="475218638">
    <w:abstractNumId w:val="5"/>
  </w:num>
  <w:num w:numId="25" w16cid:durableId="986741887">
    <w:abstractNumId w:val="14"/>
  </w:num>
  <w:num w:numId="26" w16cid:durableId="155839713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0BD6"/>
    <w:rsid w:val="00060BD6"/>
    <w:rsid w:val="00143D03"/>
    <w:rsid w:val="004E5174"/>
    <w:rsid w:val="00A43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A8C9593-3FB9-47B9-9B8D-2EFD6C99A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it-IT" w:eastAsia="it-IT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Titolo2">
    <w:name w:val="heading 2"/>
    <w:basedOn w:val="Normale"/>
    <w:next w:val="Normale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Titolo3">
    <w:name w:val="heading 3"/>
    <w:basedOn w:val="Normale"/>
    <w:next w:val="Normale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2481</Words>
  <Characters>14142</Characters>
  <Application>Microsoft Office Word</Application>
  <DocSecurity>0</DocSecurity>
  <Lines>117</Lines>
  <Paragraphs>33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Moreno Curatelo</cp:lastModifiedBy>
  <cp:revision>2</cp:revision>
  <dcterms:created xsi:type="dcterms:W3CDTF">2025-11-26T14:23:00Z</dcterms:created>
  <dcterms:modified xsi:type="dcterms:W3CDTF">2025-11-26T17:43:00Z</dcterms:modified>
</cp:coreProperties>
</file>